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D4E" w:rsidRPr="003574FC" w:rsidRDefault="00687D4E" w:rsidP="003574FC">
      <w:pPr>
        <w:spacing w:line="480" w:lineRule="auto"/>
        <w:jc w:val="center"/>
        <w:rPr>
          <w:rFonts w:ascii="Times New Roman" w:hAnsi="Times New Roman" w:cs="Times New Roman"/>
          <w:sz w:val="24"/>
          <w:szCs w:val="24"/>
        </w:rPr>
      </w:pPr>
      <w:r w:rsidRPr="003574FC">
        <w:rPr>
          <w:rFonts w:ascii="Times New Roman" w:hAnsi="Times New Roman" w:cs="Times New Roman"/>
          <w:b/>
          <w:bCs/>
          <w:sz w:val="24"/>
          <w:szCs w:val="24"/>
        </w:rPr>
        <w:t>Regulations of gene expressions by microRNAs (miRNAs);</w:t>
      </w:r>
    </w:p>
    <w:p w:rsidR="00687D4E" w:rsidRPr="003574FC" w:rsidRDefault="00687D4E" w:rsidP="003574FC">
      <w:pPr>
        <w:spacing w:line="480" w:lineRule="auto"/>
        <w:ind w:firstLine="720"/>
        <w:rPr>
          <w:rFonts w:ascii="Times New Roman" w:hAnsi="Times New Roman" w:cs="Times New Roman"/>
          <w:sz w:val="24"/>
          <w:szCs w:val="24"/>
        </w:rPr>
      </w:pPr>
      <w:r w:rsidRPr="003574FC">
        <w:rPr>
          <w:rFonts w:ascii="Times New Roman" w:hAnsi="Times New Roman" w:cs="Times New Roman"/>
          <w:sz w:val="24"/>
          <w:szCs w:val="24"/>
        </w:rPr>
        <w:t xml:space="preserve">MicroRNAs is the noun given to a family of molecules that aids cells in controlling the types of protein they manufacture or make. In most cases, cells use MicroRNA to help regulate gene expression. On the other, microRNA is the small non-coding RNA molecules present in </w:t>
      </w:r>
      <w:bookmarkStart w:id="0" w:name="_GoBack"/>
      <w:bookmarkEnd w:id="0"/>
      <w:r w:rsidRPr="003574FC">
        <w:rPr>
          <w:rFonts w:ascii="Times New Roman" w:hAnsi="Times New Roman" w:cs="Times New Roman"/>
          <w:sz w:val="24"/>
          <w:szCs w:val="24"/>
        </w:rPr>
        <w:t>plants, animals and some viruses, that usually perform the duty of silencing and post-transcriptional regulation of gene expression in RNA. MiRNAs usually work best via base-pairing with the complementary sequences within the mRNA molecules</w:t>
      </w:r>
      <w:sdt>
        <w:sdtPr>
          <w:rPr>
            <w:rFonts w:ascii="Times New Roman" w:hAnsi="Times New Roman" w:cs="Times New Roman"/>
            <w:sz w:val="24"/>
            <w:szCs w:val="24"/>
          </w:rPr>
          <w:id w:val="1244910599"/>
          <w:citation/>
        </w:sdtPr>
        <w:sdtContent>
          <w:r w:rsidRPr="003574FC">
            <w:rPr>
              <w:rFonts w:ascii="Times New Roman" w:hAnsi="Times New Roman" w:cs="Times New Roman"/>
              <w:sz w:val="24"/>
              <w:szCs w:val="24"/>
            </w:rPr>
            <w:fldChar w:fldCharType="begin"/>
          </w:r>
          <w:r w:rsidRPr="003574FC">
            <w:rPr>
              <w:rFonts w:ascii="Times New Roman" w:hAnsi="Times New Roman" w:cs="Times New Roman"/>
              <w:sz w:val="24"/>
              <w:szCs w:val="24"/>
            </w:rPr>
            <w:instrText xml:space="preserve"> CITATION Yao19 \l 1033 </w:instrText>
          </w:r>
          <w:r w:rsidRPr="003574FC">
            <w:rPr>
              <w:rFonts w:ascii="Times New Roman" w:hAnsi="Times New Roman" w:cs="Times New Roman"/>
              <w:sz w:val="24"/>
              <w:szCs w:val="24"/>
            </w:rPr>
            <w:fldChar w:fldCharType="separate"/>
          </w:r>
          <w:r w:rsidRPr="003574FC">
            <w:rPr>
              <w:rFonts w:ascii="Times New Roman" w:hAnsi="Times New Roman" w:cs="Times New Roman"/>
              <w:noProof/>
              <w:sz w:val="24"/>
              <w:szCs w:val="24"/>
            </w:rPr>
            <w:t xml:space="preserve"> (Yao et al., 2019)</w:t>
          </w:r>
          <w:r w:rsidRPr="003574FC">
            <w:rPr>
              <w:rFonts w:ascii="Times New Roman" w:hAnsi="Times New Roman" w:cs="Times New Roman"/>
              <w:sz w:val="24"/>
              <w:szCs w:val="24"/>
            </w:rPr>
            <w:fldChar w:fldCharType="end"/>
          </w:r>
        </w:sdtContent>
      </w:sdt>
      <w:r w:rsidRPr="003574FC">
        <w:rPr>
          <w:rFonts w:ascii="Times New Roman" w:hAnsi="Times New Roman" w:cs="Times New Roman"/>
          <w:sz w:val="24"/>
          <w:szCs w:val="24"/>
        </w:rPr>
        <w:t>. MicroRNA are located explicitly in cells and bloodstreams.</w:t>
      </w:r>
    </w:p>
    <w:p w:rsidR="00687D4E" w:rsidRPr="003574FC" w:rsidRDefault="00687D4E" w:rsidP="003574FC">
      <w:pPr>
        <w:spacing w:line="480" w:lineRule="auto"/>
        <w:ind w:firstLine="720"/>
        <w:rPr>
          <w:rFonts w:ascii="Times New Roman" w:hAnsi="Times New Roman" w:cs="Times New Roman"/>
          <w:sz w:val="24"/>
          <w:szCs w:val="24"/>
        </w:rPr>
      </w:pPr>
      <w:r w:rsidRPr="003574FC">
        <w:rPr>
          <w:rFonts w:ascii="Times New Roman" w:hAnsi="Times New Roman" w:cs="Times New Roman"/>
          <w:sz w:val="24"/>
          <w:szCs w:val="24"/>
        </w:rPr>
        <w:t>As stated above, microRNAs, are short non-coding RNAs that help in regulating gene expression post-transcriptionally. They mostly combine or bind to the 3’-UTR of their primary target, which is mRNAs and repress protein production by destabilizing the mRNA and translational silencing. MiRNAs are essential cytoplasmic regulators of gene expression</w:t>
      </w:r>
      <w:sdt>
        <w:sdtPr>
          <w:rPr>
            <w:rFonts w:ascii="Times New Roman" w:hAnsi="Times New Roman" w:cs="Times New Roman"/>
            <w:sz w:val="24"/>
            <w:szCs w:val="24"/>
          </w:rPr>
          <w:id w:val="-2111195152"/>
          <w:citation/>
        </w:sdtPr>
        <w:sdtContent>
          <w:r w:rsidRPr="003574FC">
            <w:rPr>
              <w:rFonts w:ascii="Times New Roman" w:hAnsi="Times New Roman" w:cs="Times New Roman"/>
              <w:sz w:val="24"/>
              <w:szCs w:val="24"/>
            </w:rPr>
            <w:fldChar w:fldCharType="begin"/>
          </w:r>
          <w:r w:rsidRPr="003574FC">
            <w:rPr>
              <w:rFonts w:ascii="Times New Roman" w:hAnsi="Times New Roman" w:cs="Times New Roman"/>
              <w:sz w:val="24"/>
              <w:szCs w:val="24"/>
            </w:rPr>
            <w:instrText xml:space="preserve"> CITATION Gul16 \l 1033 </w:instrText>
          </w:r>
          <w:r w:rsidRPr="003574FC">
            <w:rPr>
              <w:rFonts w:ascii="Times New Roman" w:hAnsi="Times New Roman" w:cs="Times New Roman"/>
              <w:sz w:val="24"/>
              <w:szCs w:val="24"/>
            </w:rPr>
            <w:fldChar w:fldCharType="separate"/>
          </w:r>
          <w:r w:rsidRPr="003574FC">
            <w:rPr>
              <w:rFonts w:ascii="Times New Roman" w:hAnsi="Times New Roman" w:cs="Times New Roman"/>
              <w:noProof/>
              <w:sz w:val="24"/>
              <w:szCs w:val="24"/>
            </w:rPr>
            <w:t xml:space="preserve"> (Gulyaeva &amp; Kushlinskiy, 2016)</w:t>
          </w:r>
          <w:r w:rsidRPr="003574FC">
            <w:rPr>
              <w:rFonts w:ascii="Times New Roman" w:hAnsi="Times New Roman" w:cs="Times New Roman"/>
              <w:sz w:val="24"/>
              <w:szCs w:val="24"/>
            </w:rPr>
            <w:fldChar w:fldCharType="end"/>
          </w:r>
        </w:sdtContent>
      </w:sdt>
      <w:r w:rsidRPr="003574FC">
        <w:rPr>
          <w:rFonts w:ascii="Times New Roman" w:hAnsi="Times New Roman" w:cs="Times New Roman"/>
          <w:sz w:val="24"/>
          <w:szCs w:val="24"/>
        </w:rPr>
        <w:t>. They generally act as post-transcriptional regulators of their messenger RNA targets via mRNA degradation and translational repression. Based on various studies, it’s also, evident that miRNAs perform a specific function in the nuclear. Also, the most vital step in gene expression is the initiation of the transcription. Thus, this means that without initiation transcription and the subsequent transcription of the gene into mRNA by the actions of RNA polymerase, will make the phenotype controlled by the gene not to be visible. </w:t>
      </w:r>
    </w:p>
    <w:p w:rsidR="00687D4E" w:rsidRPr="003574FC" w:rsidRDefault="00687D4E" w:rsidP="003574FC">
      <w:pPr>
        <w:spacing w:line="480" w:lineRule="auto"/>
        <w:ind w:firstLine="720"/>
        <w:rPr>
          <w:rFonts w:ascii="Times New Roman" w:hAnsi="Times New Roman" w:cs="Times New Roman"/>
          <w:sz w:val="24"/>
          <w:szCs w:val="24"/>
        </w:rPr>
      </w:pPr>
      <w:r w:rsidRPr="003574FC">
        <w:rPr>
          <w:rFonts w:ascii="Times New Roman" w:hAnsi="Times New Roman" w:cs="Times New Roman"/>
          <w:sz w:val="24"/>
          <w:szCs w:val="24"/>
        </w:rPr>
        <w:t>MicroRNAs are always in small molecules ranging from 18 to 22 nucleotides that act as the essential regulators of the gene expression at the post-transcriptional level. MiRNAs has several mechanisms that it applies in the gene expressions; one of them involves the interaction of their “seed” sequences primarily with 3’-end and rarely with 5’-end, of mRNA transcribed from target genes</w:t>
      </w:r>
      <w:sdt>
        <w:sdtPr>
          <w:rPr>
            <w:rFonts w:ascii="Times New Roman" w:hAnsi="Times New Roman" w:cs="Times New Roman"/>
            <w:sz w:val="24"/>
            <w:szCs w:val="24"/>
          </w:rPr>
          <w:id w:val="2021650030"/>
          <w:citation/>
        </w:sdtPr>
        <w:sdtContent>
          <w:r w:rsidRPr="003574FC">
            <w:rPr>
              <w:rFonts w:ascii="Times New Roman" w:hAnsi="Times New Roman" w:cs="Times New Roman"/>
              <w:sz w:val="24"/>
              <w:szCs w:val="24"/>
            </w:rPr>
            <w:fldChar w:fldCharType="begin"/>
          </w:r>
          <w:r w:rsidRPr="003574FC">
            <w:rPr>
              <w:rFonts w:ascii="Times New Roman" w:hAnsi="Times New Roman" w:cs="Times New Roman"/>
              <w:sz w:val="24"/>
              <w:szCs w:val="24"/>
            </w:rPr>
            <w:instrText xml:space="preserve"> CITATION Yao19 \l 1033 </w:instrText>
          </w:r>
          <w:r w:rsidRPr="003574FC">
            <w:rPr>
              <w:rFonts w:ascii="Times New Roman" w:hAnsi="Times New Roman" w:cs="Times New Roman"/>
              <w:sz w:val="24"/>
              <w:szCs w:val="24"/>
            </w:rPr>
            <w:fldChar w:fldCharType="separate"/>
          </w:r>
          <w:r w:rsidRPr="003574FC">
            <w:rPr>
              <w:rFonts w:ascii="Times New Roman" w:hAnsi="Times New Roman" w:cs="Times New Roman"/>
              <w:noProof/>
              <w:sz w:val="24"/>
              <w:szCs w:val="24"/>
            </w:rPr>
            <w:t xml:space="preserve"> (Yao et al., 2019)</w:t>
          </w:r>
          <w:r w:rsidRPr="003574FC">
            <w:rPr>
              <w:rFonts w:ascii="Times New Roman" w:hAnsi="Times New Roman" w:cs="Times New Roman"/>
              <w:sz w:val="24"/>
              <w:szCs w:val="24"/>
            </w:rPr>
            <w:fldChar w:fldCharType="end"/>
          </w:r>
        </w:sdtContent>
      </w:sdt>
      <w:r w:rsidRPr="003574FC">
        <w:rPr>
          <w:rFonts w:ascii="Times New Roman" w:hAnsi="Times New Roman" w:cs="Times New Roman"/>
          <w:sz w:val="24"/>
          <w:szCs w:val="24"/>
        </w:rPr>
        <w:t xml:space="preserve">. MiRNAs are also, endogenous, non-coding 22- nucleotide </w:t>
      </w:r>
      <w:r w:rsidRPr="003574FC">
        <w:rPr>
          <w:rFonts w:ascii="Times New Roman" w:hAnsi="Times New Roman" w:cs="Times New Roman"/>
          <w:sz w:val="24"/>
          <w:szCs w:val="24"/>
        </w:rPr>
        <w:lastRenderedPageBreak/>
        <w:t>RNA molecules that are responsible for post-transcriptional regulators of cognate target gene expression. Based on the existing evidence, many mammalian miRNAs are in a tissue-specific manner, which is a phenomenon that has resulted in transcriptional regulation. </w:t>
      </w:r>
    </w:p>
    <w:p w:rsidR="00687D4E" w:rsidRPr="003574FC" w:rsidRDefault="00687D4E" w:rsidP="003574FC">
      <w:pPr>
        <w:spacing w:line="480" w:lineRule="auto"/>
        <w:ind w:firstLine="720"/>
        <w:rPr>
          <w:rFonts w:ascii="Times New Roman" w:hAnsi="Times New Roman" w:cs="Times New Roman"/>
          <w:sz w:val="24"/>
          <w:szCs w:val="24"/>
        </w:rPr>
      </w:pPr>
      <w:r w:rsidRPr="003574FC">
        <w:rPr>
          <w:rFonts w:ascii="Times New Roman" w:hAnsi="Times New Roman" w:cs="Times New Roman"/>
          <w:sz w:val="24"/>
          <w:szCs w:val="24"/>
        </w:rPr>
        <w:t>The reduction of a specific amount of miRNA is a very vital outcome of the molecular event. Hence through this, miRs plays an important role, since they act as primary regulatory molecules in many biological processes. Besides, many studies are in a position to confirm the quantitative and qualitative analysis of miRNA expression, and the outcome displayed are the considerable changes in their expression profiles in various diseases. From multiple studies outcomes, shows the profiling of miRNA expression as an essential tool for diagnostics and treatment of diseases. However, the impacts of changes in miRNA expression still minimal</w:t>
      </w:r>
      <w:sdt>
        <w:sdtPr>
          <w:rPr>
            <w:rFonts w:ascii="Times New Roman" w:hAnsi="Times New Roman" w:cs="Times New Roman"/>
            <w:sz w:val="24"/>
            <w:szCs w:val="24"/>
          </w:rPr>
          <w:id w:val="1254637190"/>
          <w:citation/>
        </w:sdtPr>
        <w:sdtContent>
          <w:r w:rsidRPr="003574FC">
            <w:rPr>
              <w:rFonts w:ascii="Times New Roman" w:hAnsi="Times New Roman" w:cs="Times New Roman"/>
              <w:sz w:val="24"/>
              <w:szCs w:val="24"/>
            </w:rPr>
            <w:fldChar w:fldCharType="begin"/>
          </w:r>
          <w:r w:rsidRPr="003574FC">
            <w:rPr>
              <w:rFonts w:ascii="Times New Roman" w:hAnsi="Times New Roman" w:cs="Times New Roman"/>
              <w:sz w:val="24"/>
              <w:szCs w:val="24"/>
            </w:rPr>
            <w:instrText xml:space="preserve"> CITATION Tre19 \l 1033 </w:instrText>
          </w:r>
          <w:r w:rsidRPr="003574FC">
            <w:rPr>
              <w:rFonts w:ascii="Times New Roman" w:hAnsi="Times New Roman" w:cs="Times New Roman"/>
              <w:sz w:val="24"/>
              <w:szCs w:val="24"/>
            </w:rPr>
            <w:fldChar w:fldCharType="separate"/>
          </w:r>
          <w:r w:rsidRPr="003574FC">
            <w:rPr>
              <w:rFonts w:ascii="Times New Roman" w:hAnsi="Times New Roman" w:cs="Times New Roman"/>
              <w:noProof/>
              <w:sz w:val="24"/>
              <w:szCs w:val="24"/>
            </w:rPr>
            <w:t xml:space="preserve"> (Treiber et al., 2019)</w:t>
          </w:r>
          <w:r w:rsidRPr="003574FC">
            <w:rPr>
              <w:rFonts w:ascii="Times New Roman" w:hAnsi="Times New Roman" w:cs="Times New Roman"/>
              <w:sz w:val="24"/>
              <w:szCs w:val="24"/>
            </w:rPr>
            <w:fldChar w:fldCharType="end"/>
          </w:r>
        </w:sdtContent>
      </w:sdt>
      <w:r w:rsidRPr="003574FC">
        <w:rPr>
          <w:rFonts w:ascii="Times New Roman" w:hAnsi="Times New Roman" w:cs="Times New Roman"/>
          <w:sz w:val="24"/>
          <w:szCs w:val="24"/>
        </w:rPr>
        <w:t>. By understanding of molecular mechanisms regulating miRNA expression will give a clear explanation of the variations in the name of protein-coding genes. Therefore, a generalized scheme of both the transcriptional and post-transcriptional regulation of microRNA expression, hence this is due to transcriptional regulation comprises changes in the expression of the host gene and hypermethylation of the promoter of host or microRNA genes. Finally, post-transcriptional mechanisms show changes in miRNA processing and stability. Besides, the effects of endogenous like hormones and cytokines and exogenous (xenobiotic) compounds on the expression of miRNAs are always given a chance in process of regulation of genes.</w:t>
      </w:r>
    </w:p>
    <w:p w:rsidR="00687D4E" w:rsidRPr="003574FC" w:rsidRDefault="00687D4E" w:rsidP="003574FC">
      <w:pPr>
        <w:spacing w:line="480" w:lineRule="auto"/>
        <w:rPr>
          <w:rFonts w:ascii="Times New Roman" w:hAnsi="Times New Roman" w:cs="Times New Roman"/>
          <w:sz w:val="24"/>
          <w:szCs w:val="24"/>
        </w:rPr>
      </w:pPr>
    </w:p>
    <w:p w:rsidR="00687D4E" w:rsidRPr="003574FC" w:rsidRDefault="00687D4E" w:rsidP="003574FC">
      <w:pPr>
        <w:spacing w:line="480" w:lineRule="auto"/>
        <w:rPr>
          <w:rFonts w:ascii="Times New Roman" w:hAnsi="Times New Roman" w:cs="Times New Roman"/>
          <w:sz w:val="24"/>
          <w:szCs w:val="24"/>
        </w:rPr>
      </w:pPr>
    </w:p>
    <w:p w:rsidR="00687D4E" w:rsidRPr="003574FC" w:rsidRDefault="00687D4E" w:rsidP="003574FC">
      <w:pPr>
        <w:spacing w:line="480" w:lineRule="auto"/>
        <w:rPr>
          <w:rFonts w:ascii="Times New Roman" w:hAnsi="Times New Roman" w:cs="Times New Roman"/>
          <w:sz w:val="24"/>
          <w:szCs w:val="24"/>
        </w:rPr>
      </w:pPr>
    </w:p>
    <w:p w:rsidR="00687D4E" w:rsidRPr="003574FC" w:rsidRDefault="00687D4E" w:rsidP="003574FC">
      <w:pPr>
        <w:spacing w:line="480" w:lineRule="auto"/>
        <w:jc w:val="center"/>
        <w:rPr>
          <w:rFonts w:ascii="Times New Roman" w:hAnsi="Times New Roman" w:cs="Times New Roman"/>
          <w:b/>
          <w:sz w:val="24"/>
          <w:szCs w:val="24"/>
        </w:rPr>
      </w:pPr>
      <w:r w:rsidRPr="003574FC">
        <w:rPr>
          <w:rFonts w:ascii="Times New Roman" w:hAnsi="Times New Roman" w:cs="Times New Roman"/>
          <w:b/>
          <w:sz w:val="24"/>
          <w:szCs w:val="24"/>
        </w:rPr>
        <w:t>Reference.</w:t>
      </w:r>
    </w:p>
    <w:p w:rsidR="00D73235" w:rsidRPr="003574FC" w:rsidRDefault="00687D4E" w:rsidP="003574FC">
      <w:pPr>
        <w:spacing w:line="480" w:lineRule="auto"/>
        <w:ind w:left="720" w:hanging="720"/>
        <w:rPr>
          <w:rFonts w:ascii="Times New Roman" w:hAnsi="Times New Roman" w:cs="Times New Roman"/>
          <w:sz w:val="24"/>
          <w:szCs w:val="24"/>
        </w:rPr>
      </w:pPr>
      <w:r w:rsidRPr="003574FC">
        <w:rPr>
          <w:rFonts w:ascii="Times New Roman" w:hAnsi="Times New Roman" w:cs="Times New Roman"/>
          <w:sz w:val="24"/>
          <w:szCs w:val="24"/>
        </w:rPr>
        <w:lastRenderedPageBreak/>
        <w:t>Gulyaeva, L. F., &amp; Kushlinskiy, N. E. (2016). Regulatory mechanisms of microRNA expression. </w:t>
      </w:r>
      <w:r w:rsidRPr="003574FC">
        <w:rPr>
          <w:rFonts w:ascii="Times New Roman" w:hAnsi="Times New Roman" w:cs="Times New Roman"/>
          <w:i/>
          <w:iCs/>
          <w:sz w:val="24"/>
          <w:szCs w:val="24"/>
        </w:rPr>
        <w:t>Journal of translational medicine</w:t>
      </w:r>
      <w:r w:rsidRPr="003574FC">
        <w:rPr>
          <w:rFonts w:ascii="Times New Roman" w:hAnsi="Times New Roman" w:cs="Times New Roman"/>
          <w:sz w:val="24"/>
          <w:szCs w:val="24"/>
        </w:rPr>
        <w:t>, </w:t>
      </w:r>
      <w:r w:rsidRPr="003574FC">
        <w:rPr>
          <w:rFonts w:ascii="Times New Roman" w:hAnsi="Times New Roman" w:cs="Times New Roman"/>
          <w:i/>
          <w:iCs/>
          <w:sz w:val="24"/>
          <w:szCs w:val="24"/>
        </w:rPr>
        <w:t>14</w:t>
      </w:r>
      <w:r w:rsidRPr="003574FC">
        <w:rPr>
          <w:rFonts w:ascii="Times New Roman" w:hAnsi="Times New Roman" w:cs="Times New Roman"/>
          <w:sz w:val="24"/>
          <w:szCs w:val="24"/>
        </w:rPr>
        <w:t>(1), 143.</w:t>
      </w:r>
    </w:p>
    <w:p w:rsidR="00687D4E" w:rsidRPr="003574FC" w:rsidRDefault="00687D4E" w:rsidP="003574FC">
      <w:pPr>
        <w:spacing w:line="480" w:lineRule="auto"/>
        <w:ind w:left="720" w:hanging="720"/>
        <w:rPr>
          <w:rFonts w:ascii="Times New Roman" w:hAnsi="Times New Roman" w:cs="Times New Roman"/>
          <w:sz w:val="24"/>
          <w:szCs w:val="24"/>
        </w:rPr>
      </w:pPr>
      <w:r w:rsidRPr="003574FC">
        <w:rPr>
          <w:rFonts w:ascii="Times New Roman" w:hAnsi="Times New Roman" w:cs="Times New Roman"/>
          <w:sz w:val="24"/>
          <w:szCs w:val="24"/>
        </w:rPr>
        <w:t>Yao, Q., Chen, Y., &amp; Zhou, X. (2019). The roles of microRNAs in epigenetic regulation. </w:t>
      </w:r>
      <w:r w:rsidRPr="003574FC">
        <w:rPr>
          <w:rFonts w:ascii="Times New Roman" w:hAnsi="Times New Roman" w:cs="Times New Roman"/>
          <w:i/>
          <w:iCs/>
          <w:sz w:val="24"/>
          <w:szCs w:val="24"/>
        </w:rPr>
        <w:t>Current opinion in chemical biology</w:t>
      </w:r>
      <w:r w:rsidRPr="003574FC">
        <w:rPr>
          <w:rFonts w:ascii="Times New Roman" w:hAnsi="Times New Roman" w:cs="Times New Roman"/>
          <w:sz w:val="24"/>
          <w:szCs w:val="24"/>
        </w:rPr>
        <w:t>, </w:t>
      </w:r>
      <w:r w:rsidRPr="003574FC">
        <w:rPr>
          <w:rFonts w:ascii="Times New Roman" w:hAnsi="Times New Roman" w:cs="Times New Roman"/>
          <w:i/>
          <w:iCs/>
          <w:sz w:val="24"/>
          <w:szCs w:val="24"/>
        </w:rPr>
        <w:t>51</w:t>
      </w:r>
      <w:r w:rsidRPr="003574FC">
        <w:rPr>
          <w:rFonts w:ascii="Times New Roman" w:hAnsi="Times New Roman" w:cs="Times New Roman"/>
          <w:sz w:val="24"/>
          <w:szCs w:val="24"/>
        </w:rPr>
        <w:t>, 11-17.</w:t>
      </w:r>
    </w:p>
    <w:p w:rsidR="00687D4E" w:rsidRPr="003574FC" w:rsidRDefault="00687D4E" w:rsidP="003574FC">
      <w:pPr>
        <w:spacing w:line="480" w:lineRule="auto"/>
        <w:ind w:left="720" w:hanging="720"/>
        <w:rPr>
          <w:rFonts w:ascii="Times New Roman" w:hAnsi="Times New Roman" w:cs="Times New Roman"/>
          <w:sz w:val="24"/>
          <w:szCs w:val="24"/>
        </w:rPr>
      </w:pPr>
      <w:r w:rsidRPr="003574FC">
        <w:rPr>
          <w:rFonts w:ascii="Times New Roman" w:hAnsi="Times New Roman" w:cs="Times New Roman"/>
          <w:sz w:val="24"/>
          <w:szCs w:val="24"/>
        </w:rPr>
        <w:t>Treiber, T., Treiber, N., &amp; Meister, G. (2019). Regulation of microRNA biogenesis and its crosstalk with other cellular pathways. </w:t>
      </w:r>
      <w:r w:rsidRPr="003574FC">
        <w:rPr>
          <w:rFonts w:ascii="Times New Roman" w:hAnsi="Times New Roman" w:cs="Times New Roman"/>
          <w:i/>
          <w:iCs/>
          <w:sz w:val="24"/>
          <w:szCs w:val="24"/>
        </w:rPr>
        <w:t>Nature Reviews Molecular Cell Biology</w:t>
      </w:r>
      <w:r w:rsidRPr="003574FC">
        <w:rPr>
          <w:rFonts w:ascii="Times New Roman" w:hAnsi="Times New Roman" w:cs="Times New Roman"/>
          <w:sz w:val="24"/>
          <w:szCs w:val="24"/>
        </w:rPr>
        <w:t>, </w:t>
      </w:r>
      <w:r w:rsidRPr="003574FC">
        <w:rPr>
          <w:rFonts w:ascii="Times New Roman" w:hAnsi="Times New Roman" w:cs="Times New Roman"/>
          <w:i/>
          <w:iCs/>
          <w:sz w:val="24"/>
          <w:szCs w:val="24"/>
        </w:rPr>
        <w:t>20</w:t>
      </w:r>
      <w:r w:rsidRPr="003574FC">
        <w:rPr>
          <w:rFonts w:ascii="Times New Roman" w:hAnsi="Times New Roman" w:cs="Times New Roman"/>
          <w:sz w:val="24"/>
          <w:szCs w:val="24"/>
        </w:rPr>
        <w:t>(1), 5-20.</w:t>
      </w:r>
    </w:p>
    <w:sectPr w:rsidR="00687D4E" w:rsidRPr="003574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585" w:rsidRDefault="00375585" w:rsidP="003574FC">
      <w:pPr>
        <w:spacing w:after="0" w:line="240" w:lineRule="auto"/>
      </w:pPr>
      <w:r>
        <w:separator/>
      </w:r>
    </w:p>
  </w:endnote>
  <w:endnote w:type="continuationSeparator" w:id="0">
    <w:p w:rsidR="00375585" w:rsidRDefault="00375585" w:rsidP="00357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585" w:rsidRDefault="00375585" w:rsidP="003574FC">
      <w:pPr>
        <w:spacing w:after="0" w:line="240" w:lineRule="auto"/>
      </w:pPr>
      <w:r>
        <w:separator/>
      </w:r>
    </w:p>
  </w:footnote>
  <w:footnote w:type="continuationSeparator" w:id="0">
    <w:p w:rsidR="00375585" w:rsidRDefault="00375585" w:rsidP="00357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FC" w:rsidRDefault="003574FC">
    <w:pPr>
      <w:pStyle w:val="Header"/>
      <w:jc w:val="right"/>
    </w:pPr>
    <w:r>
      <w:t>Regulations of gene expressions by microRNAs</w:t>
    </w:r>
    <w:r>
      <w:tab/>
    </w:r>
    <w:r>
      <w:tab/>
    </w:r>
    <w:sdt>
      <w:sdtPr>
        <w:id w:val="16526346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574FC" w:rsidRDefault="003574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235"/>
    <w:rsid w:val="00153C49"/>
    <w:rsid w:val="001E474F"/>
    <w:rsid w:val="00266250"/>
    <w:rsid w:val="00280B01"/>
    <w:rsid w:val="00332F64"/>
    <w:rsid w:val="003574FC"/>
    <w:rsid w:val="00375585"/>
    <w:rsid w:val="003B4FD9"/>
    <w:rsid w:val="003D1ECD"/>
    <w:rsid w:val="005C04AF"/>
    <w:rsid w:val="00603719"/>
    <w:rsid w:val="00687D4E"/>
    <w:rsid w:val="006F075B"/>
    <w:rsid w:val="00707AE4"/>
    <w:rsid w:val="00A335A0"/>
    <w:rsid w:val="00C31D14"/>
    <w:rsid w:val="00D73235"/>
    <w:rsid w:val="00DD5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24A84"/>
  <w15:chartTrackingRefBased/>
  <w15:docId w15:val="{C86E7B5A-2806-46F2-84B6-35CD5ABB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ECD"/>
    <w:rPr>
      <w:color w:val="0563C1" w:themeColor="hyperlink"/>
      <w:u w:val="single"/>
    </w:rPr>
  </w:style>
  <w:style w:type="paragraph" w:styleId="Header">
    <w:name w:val="header"/>
    <w:basedOn w:val="Normal"/>
    <w:link w:val="HeaderChar"/>
    <w:uiPriority w:val="99"/>
    <w:unhideWhenUsed/>
    <w:rsid w:val="00357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FC"/>
  </w:style>
  <w:style w:type="paragraph" w:styleId="Footer">
    <w:name w:val="footer"/>
    <w:basedOn w:val="Normal"/>
    <w:link w:val="FooterChar"/>
    <w:uiPriority w:val="99"/>
    <w:unhideWhenUsed/>
    <w:rsid w:val="00357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76646">
      <w:bodyDiv w:val="1"/>
      <w:marLeft w:val="0"/>
      <w:marRight w:val="0"/>
      <w:marTop w:val="0"/>
      <w:marBottom w:val="0"/>
      <w:divBdr>
        <w:top w:val="none" w:sz="0" w:space="0" w:color="auto"/>
        <w:left w:val="none" w:sz="0" w:space="0" w:color="auto"/>
        <w:bottom w:val="none" w:sz="0" w:space="0" w:color="auto"/>
        <w:right w:val="none" w:sz="0" w:space="0" w:color="auto"/>
      </w:divBdr>
    </w:div>
    <w:div w:id="1170605639">
      <w:bodyDiv w:val="1"/>
      <w:marLeft w:val="0"/>
      <w:marRight w:val="0"/>
      <w:marTop w:val="0"/>
      <w:marBottom w:val="0"/>
      <w:divBdr>
        <w:top w:val="none" w:sz="0" w:space="0" w:color="auto"/>
        <w:left w:val="none" w:sz="0" w:space="0" w:color="auto"/>
        <w:bottom w:val="none" w:sz="0" w:space="0" w:color="auto"/>
        <w:right w:val="none" w:sz="0" w:space="0" w:color="auto"/>
      </w:divBdr>
    </w:div>
    <w:div w:id="1844271976">
      <w:bodyDiv w:val="1"/>
      <w:marLeft w:val="0"/>
      <w:marRight w:val="0"/>
      <w:marTop w:val="0"/>
      <w:marBottom w:val="0"/>
      <w:divBdr>
        <w:top w:val="none" w:sz="0" w:space="0" w:color="auto"/>
        <w:left w:val="none" w:sz="0" w:space="0" w:color="auto"/>
        <w:bottom w:val="none" w:sz="0" w:space="0" w:color="auto"/>
        <w:right w:val="none" w:sz="0" w:space="0" w:color="auto"/>
      </w:divBdr>
    </w:div>
    <w:div w:id="1887570176">
      <w:bodyDiv w:val="1"/>
      <w:marLeft w:val="0"/>
      <w:marRight w:val="0"/>
      <w:marTop w:val="0"/>
      <w:marBottom w:val="0"/>
      <w:divBdr>
        <w:top w:val="none" w:sz="0" w:space="0" w:color="auto"/>
        <w:left w:val="none" w:sz="0" w:space="0" w:color="auto"/>
        <w:bottom w:val="none" w:sz="0" w:space="0" w:color="auto"/>
        <w:right w:val="none" w:sz="0" w:space="0" w:color="auto"/>
      </w:divBdr>
      <w:divsChild>
        <w:div w:id="72435403">
          <w:marLeft w:val="0"/>
          <w:marRight w:val="0"/>
          <w:marTop w:val="0"/>
          <w:marBottom w:val="0"/>
          <w:divBdr>
            <w:top w:val="none" w:sz="0" w:space="0" w:color="auto"/>
            <w:left w:val="none" w:sz="0" w:space="0" w:color="auto"/>
            <w:bottom w:val="none" w:sz="0" w:space="0" w:color="auto"/>
            <w:right w:val="none" w:sz="0" w:space="0" w:color="auto"/>
          </w:divBdr>
        </w:div>
      </w:divsChild>
    </w:div>
    <w:div w:id="1951277150">
      <w:bodyDiv w:val="1"/>
      <w:marLeft w:val="0"/>
      <w:marRight w:val="0"/>
      <w:marTop w:val="0"/>
      <w:marBottom w:val="0"/>
      <w:divBdr>
        <w:top w:val="none" w:sz="0" w:space="0" w:color="auto"/>
        <w:left w:val="none" w:sz="0" w:space="0" w:color="auto"/>
        <w:bottom w:val="none" w:sz="0" w:space="0" w:color="auto"/>
        <w:right w:val="none" w:sz="0" w:space="0" w:color="auto"/>
      </w:divBdr>
    </w:div>
    <w:div w:id="2020310175">
      <w:bodyDiv w:val="1"/>
      <w:marLeft w:val="0"/>
      <w:marRight w:val="0"/>
      <w:marTop w:val="0"/>
      <w:marBottom w:val="0"/>
      <w:divBdr>
        <w:top w:val="none" w:sz="0" w:space="0" w:color="auto"/>
        <w:left w:val="none" w:sz="0" w:space="0" w:color="auto"/>
        <w:bottom w:val="none" w:sz="0" w:space="0" w:color="auto"/>
        <w:right w:val="none" w:sz="0" w:space="0" w:color="auto"/>
      </w:divBdr>
    </w:div>
    <w:div w:id="210017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Gul16</b:Tag>
    <b:SourceType>Book</b:SourceType>
    <b:Guid>{98EEE543-8222-40F8-A6A3-C4F9E3B591F7}</b:Guid>
    <b:Title>Gulyaeva &amp; Kushlinskiy</b:Title>
    <b:Year>2016</b:Year>
    <b:RefOrder>2</b:RefOrder>
  </b:Source>
  <b:Source>
    <b:Tag>Yao19</b:Tag>
    <b:SourceType>Book</b:SourceType>
    <b:Guid>{2BD2C80C-E0E0-4055-BEC6-7D4896318738}</b:Guid>
    <b:Title>Yao et al.</b:Title>
    <b:Year>2019</b:Year>
    <b:RefOrder>1</b:RefOrder>
  </b:Source>
  <b:Source>
    <b:Tag>Tre19</b:Tag>
    <b:SourceType>Book</b:SourceType>
    <b:Guid>{7EE43AD0-7DA4-491A-91E2-3022AD18FDF1}</b:Guid>
    <b:Title>Treiber et al.</b:Title>
    <b:Year>2019</b:Year>
    <b:RefOrder>3</b:RefOrder>
  </b:Source>
</b:Sources>
</file>

<file path=customXml/itemProps1.xml><?xml version="1.0" encoding="utf-8"?>
<ds:datastoreItem xmlns:ds="http://schemas.openxmlformats.org/officeDocument/2006/customXml" ds:itemID="{25A7E998-947D-4D4C-8972-5E5328F90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2020-12-01T14:40:00Z</dcterms:created>
  <dcterms:modified xsi:type="dcterms:W3CDTF">2020-12-01T17:34:00Z</dcterms:modified>
</cp:coreProperties>
</file>